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D8" w:rsidRPr="003035E3" w:rsidRDefault="00A00DD8" w:rsidP="00A00DD8">
      <w:pPr>
        <w:pStyle w:val="Nzev"/>
        <w:jc w:val="center"/>
        <w:rPr>
          <w:rFonts w:ascii="Arial" w:eastAsia="Calibri" w:hAnsi="Arial" w:cs="Arial"/>
          <w:b/>
          <w:color w:val="0070C0"/>
          <w:sz w:val="32"/>
          <w:szCs w:val="32"/>
        </w:rPr>
      </w:pPr>
      <w:r w:rsidRPr="003035E3">
        <w:rPr>
          <w:rFonts w:ascii="Arial" w:hAnsi="Arial" w:cs="Arial"/>
          <w:noProof/>
          <w:color w:val="0070C0"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E2AC2" wp14:editId="73CB0BFF">
                <wp:simplePos x="0" y="0"/>
                <wp:positionH relativeFrom="column">
                  <wp:posOffset>7771765</wp:posOffset>
                </wp:positionH>
                <wp:positionV relativeFrom="paragraph">
                  <wp:posOffset>-465455</wp:posOffset>
                </wp:positionV>
                <wp:extent cx="1061085" cy="335280"/>
                <wp:effectExtent l="0" t="0" r="24765" b="2667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33528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DD8" w:rsidRPr="003035E3" w:rsidRDefault="00A00DD8" w:rsidP="00A00D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3035E3"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  <w:t>302/A2-b</w:t>
                            </w:r>
                          </w:p>
                          <w:p w:rsidR="00A00DD8" w:rsidRPr="002126B9" w:rsidRDefault="00A00DD8" w:rsidP="00A00DD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611.95pt;margin-top:-36.65pt;width:83.55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" fillcolor="#ff9">
                <v:textbox>
                  <w:txbxContent>
                    <w:p w:rsidR="00A00DD8" w:rsidRPr="003035E3" w:rsidRDefault="00A00DD8" w:rsidP="00A00DD8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3035E3"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  <w:t>302/A2-b</w:t>
                      </w:r>
                    </w:p>
                    <w:p w:rsidR="00A00DD8" w:rsidRPr="002126B9" w:rsidRDefault="00A00DD8" w:rsidP="00A00DD8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35E3">
        <w:rPr>
          <w:rFonts w:ascii="Arial" w:eastAsia="Calibri" w:hAnsi="Arial" w:cs="Arial"/>
          <w:b/>
          <w:color w:val="0070C0"/>
          <w:sz w:val="32"/>
          <w:szCs w:val="32"/>
        </w:rPr>
        <w:t xml:space="preserve">Principy pro přípravu nového zákona o podpoře </w:t>
      </w:r>
      <w:proofErr w:type="spellStart"/>
      <w:r w:rsidRPr="003035E3">
        <w:rPr>
          <w:rFonts w:ascii="Arial" w:eastAsia="Calibri" w:hAnsi="Arial" w:cs="Arial"/>
          <w:b/>
          <w:color w:val="0070C0"/>
          <w:sz w:val="32"/>
          <w:szCs w:val="32"/>
        </w:rPr>
        <w:t>VaVaI</w:t>
      </w:r>
      <w:proofErr w:type="spellEnd"/>
      <w:r w:rsidRPr="003035E3">
        <w:rPr>
          <w:rFonts w:ascii="Arial" w:eastAsia="Calibri" w:hAnsi="Arial" w:cs="Arial"/>
          <w:b/>
          <w:color w:val="0070C0"/>
          <w:sz w:val="32"/>
          <w:szCs w:val="32"/>
        </w:rPr>
        <w:t xml:space="preserve"> –</w:t>
      </w:r>
    </w:p>
    <w:p w:rsidR="00834559" w:rsidRPr="003035E3" w:rsidRDefault="00290D90" w:rsidP="00A00DD8">
      <w:pPr>
        <w:pStyle w:val="Nzev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3035E3">
        <w:rPr>
          <w:rFonts w:ascii="Arial" w:hAnsi="Arial" w:cs="Arial"/>
          <w:b/>
          <w:color w:val="0070C0"/>
          <w:sz w:val="32"/>
          <w:szCs w:val="32"/>
        </w:rPr>
        <w:t>vyjádření k připomínkám</w:t>
      </w:r>
    </w:p>
    <w:p w:rsidR="00667A00" w:rsidRDefault="00667A00" w:rsidP="00E956BA">
      <w:pPr>
        <w:pStyle w:val="Nadpis1"/>
        <w:jc w:val="both"/>
      </w:pPr>
      <w:r>
        <w:t xml:space="preserve">K části 1 – Úvod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Připomínka / komentář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Vyjádření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CD1548">
              <w:rPr>
                <w:sz w:val="20"/>
                <w:szCs w:val="20"/>
              </w:rPr>
              <w:t xml:space="preserve">Principy zákona nemohou nahradit politiku VaV, neboť politika má být strategický dokument a právní norma je jedním z nástrojů její realizace. </w:t>
            </w:r>
          </w:p>
        </w:tc>
        <w:tc>
          <w:tcPr>
            <w:tcW w:w="7071" w:type="dxa"/>
            <w:vAlign w:val="center"/>
          </w:tcPr>
          <w:p w:rsidR="00C314D9" w:rsidRPr="00667A00" w:rsidRDefault="008A1AC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Použit</w:t>
            </w:r>
            <w:r w:rsidR="00AA7A45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formulace se týkala budoucí politiky, nikoliv současné.(„</w:t>
            </w:r>
            <w:r w:rsidRPr="00E956BA">
              <w:rPr>
                <w:i/>
                <w:sz w:val="20"/>
                <w:szCs w:val="20"/>
              </w:rPr>
              <w:t>Současně Principy nahrazují podstatnou část budoucí Národní politiky</w:t>
            </w:r>
            <w:r>
              <w:rPr>
                <w:i/>
                <w:sz w:val="20"/>
                <w:szCs w:val="20"/>
              </w:rPr>
              <w:t xml:space="preserve"> …</w:t>
            </w:r>
            <w:r w:rsidRPr="00E956BA">
              <w:rPr>
                <w:sz w:val="20"/>
                <w:szCs w:val="20"/>
              </w:rPr>
              <w:t>“).</w:t>
            </w:r>
            <w:r w:rsidR="00C314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Nový z</w:t>
            </w:r>
            <w:r w:rsidR="00C314D9">
              <w:rPr>
                <w:sz w:val="20"/>
                <w:szCs w:val="20"/>
              </w:rPr>
              <w:t xml:space="preserve">ákon </w:t>
            </w:r>
            <w:r>
              <w:rPr>
                <w:sz w:val="20"/>
                <w:szCs w:val="20"/>
              </w:rPr>
              <w:t> současně musí</w:t>
            </w:r>
            <w:r w:rsidR="00C314D9">
              <w:rPr>
                <w:sz w:val="20"/>
                <w:szCs w:val="20"/>
              </w:rPr>
              <w:t xml:space="preserve"> obsahovat to, co je </w:t>
            </w:r>
            <w:r>
              <w:rPr>
                <w:sz w:val="20"/>
                <w:szCs w:val="20"/>
              </w:rPr>
              <w:t>stávající Aktualizovanou n</w:t>
            </w:r>
            <w:r w:rsidR="00C314D9">
              <w:rPr>
                <w:sz w:val="20"/>
                <w:szCs w:val="20"/>
              </w:rPr>
              <w:t xml:space="preserve">árodní politikou </w:t>
            </w:r>
            <w:r>
              <w:rPr>
                <w:sz w:val="20"/>
                <w:szCs w:val="20"/>
              </w:rPr>
              <w:t xml:space="preserve">VaVaI </w:t>
            </w:r>
            <w:r w:rsidR="00C314D9">
              <w:rPr>
                <w:sz w:val="20"/>
                <w:szCs w:val="20"/>
              </w:rPr>
              <w:t>uloženo realizovat</w:t>
            </w:r>
            <w:r>
              <w:rPr>
                <w:sz w:val="20"/>
                <w:szCs w:val="20"/>
              </w:rPr>
              <w:t xml:space="preserve"> – viz její opatření č. 12 (odpovídá RVVI, spolupráce všechny správní úřady odpovědné za VaV)</w:t>
            </w:r>
            <w:r w:rsidR="00C314D9">
              <w:rPr>
                <w:sz w:val="20"/>
                <w:szCs w:val="20"/>
              </w:rPr>
              <w:t>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855C3">
              <w:rPr>
                <w:sz w:val="20"/>
                <w:szCs w:val="20"/>
              </w:rPr>
              <w:t xml:space="preserve">Je chybné odvíjet rozvoj systému VaVaI v ČR od naprosto bezprecedentní a formalistické redukce na systém financování. Tento zúžený pohled je součástí, ne-li vůbec hlavním důvodem současného krizového stavu. 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Nelze souhlasit, protože principy a popis systému má být obsažen v Národní politice VaVaI, ovšem zákon </w:t>
            </w:r>
            <w:r w:rsidR="00AA7A45">
              <w:rPr>
                <w:sz w:val="20"/>
                <w:szCs w:val="20"/>
              </w:rPr>
              <w:t xml:space="preserve">o podpoře VaVaI </w:t>
            </w:r>
            <w:r>
              <w:rPr>
                <w:sz w:val="20"/>
                <w:szCs w:val="20"/>
              </w:rPr>
              <w:t xml:space="preserve">má definovat principy, podle kterých lze na VaVaI poskytovat podporu z veřejných zdrojů. Nelze </w:t>
            </w:r>
            <w:r w:rsidR="00AA7A45">
              <w:rPr>
                <w:sz w:val="20"/>
                <w:szCs w:val="20"/>
              </w:rPr>
              <w:t xml:space="preserve">tedy </w:t>
            </w:r>
            <w:r>
              <w:rPr>
                <w:sz w:val="20"/>
                <w:szCs w:val="20"/>
              </w:rPr>
              <w:t>chápat zákon jako manuál pro realizaci VaVaI v ČR.</w:t>
            </w:r>
          </w:p>
        </w:tc>
        <w:bookmarkStart w:id="0" w:name="_GoBack"/>
        <w:bookmarkEnd w:id="0"/>
      </w:tr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855C3">
              <w:rPr>
                <w:sz w:val="20"/>
                <w:szCs w:val="20"/>
              </w:rPr>
              <w:t xml:space="preserve">Koncepčně je nutné oddělit přístupy podpory inovací v soukromém a veřejném prostoru. Podpora inovací v soukromém sektoru sleduje zcela jiné cíle a podřizuje se zcela jiným pravidlům, než podpora VaVaI ve veřejném a neziskovém sektoru. Přímé intervence a finanční podpora by měly být prostředky především ve veřejném prostoru, přičemž jsou v odůvodněných a odůvodnitelných případech možné přesahy do soukromého sektoru. 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Zde se jedná o osobní názor autora připomínky, neboť zákon má definovat podmínky pro podporu inovací ze soukromých zdrojů. Nemůže definovat podmínky, kdy jsou inovace realizovány z neveřejných zdrojů (je vždy věcí toho, kdo z vlastních zdrojů novace realizuje).</w:t>
            </w:r>
            <w:r w:rsidR="00AA7A45">
              <w:rPr>
                <w:sz w:val="20"/>
                <w:szCs w:val="20"/>
              </w:rPr>
              <w:t xml:space="preserve"> I v evropských předpisech platných v ČR (GBER, Rámec) tvoří VaV a inovace jeden celek, nelze je od sebe oddělovat.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855C3">
              <w:rPr>
                <w:sz w:val="20"/>
                <w:szCs w:val="20"/>
              </w:rPr>
              <w:t>Chybí zde zcela evaluace/hodnocení.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Zákon nemůže definovat</w:t>
            </w:r>
            <w:r w:rsidR="00AA7A4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jak se má hodnotit.</w:t>
            </w:r>
            <w:r w:rsidR="00AA7A45">
              <w:rPr>
                <w:sz w:val="20"/>
                <w:szCs w:val="20"/>
              </w:rPr>
              <w:t xml:space="preserve"> I stávající zákon č. 130/2002 Sb. neřeší způ</w:t>
            </w:r>
            <w:r w:rsidR="0054000D">
              <w:rPr>
                <w:sz w:val="20"/>
                <w:szCs w:val="20"/>
              </w:rPr>
              <w:t xml:space="preserve">sob evaluace. </w:t>
            </w:r>
            <w:r w:rsidR="008930AB">
              <w:rPr>
                <w:sz w:val="20"/>
                <w:szCs w:val="20"/>
              </w:rPr>
              <w:t>Na rozdíl od dosavadního systému bude hodnocení výsledků jen jednou ze složek evaluace a nebude mít bezprostřední a každoroční vazbu na výši institucionálních výdajů na RVO (bude sloužit k optimalizaci systému ve středně až dlouhodobém horizontu 5 – 7 let).</w:t>
            </w:r>
          </w:p>
        </w:tc>
      </w:tr>
    </w:tbl>
    <w:p w:rsidR="004119EC" w:rsidRDefault="004119EC" w:rsidP="00A00DD8">
      <w:pPr>
        <w:pStyle w:val="Nadpis1"/>
        <w:jc w:val="both"/>
      </w:pPr>
      <w:r>
        <w:t xml:space="preserve">K části 2 – Struktura státní správy VaVaI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A00DD8">
            <w:pPr>
              <w:keepNext/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Připomínka / komentář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A00DD8">
            <w:pPr>
              <w:keepNext/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Vyjádření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EB2CF1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Otevření problematiky národních priorit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Problematika národních priorit VaVaI </w:t>
            </w:r>
            <w:r w:rsidR="00362AB6">
              <w:rPr>
                <w:sz w:val="20"/>
                <w:szCs w:val="20"/>
              </w:rPr>
              <w:t xml:space="preserve">je a </w:t>
            </w:r>
            <w:r>
              <w:rPr>
                <w:sz w:val="20"/>
                <w:szCs w:val="20"/>
              </w:rPr>
              <w:t>bude součástí NP</w:t>
            </w:r>
            <w:r w:rsidR="00362AB6">
              <w:rPr>
                <w:sz w:val="20"/>
                <w:szCs w:val="20"/>
              </w:rPr>
              <w:t xml:space="preserve"> VaVaI</w:t>
            </w:r>
            <w:r>
              <w:rPr>
                <w:sz w:val="20"/>
                <w:szCs w:val="20"/>
              </w:rPr>
              <w:t>, nikoliv zákona.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Forma nového úřadu.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se jednat o ministerstvo pro výzkum, vývoj a inovace. Diskutována je i možnost převedení agendy vysokých škol a VaV z MŠMT.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EB2CF1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RVVI – její role, k čemu mají sloužit její komise?</w:t>
            </w:r>
          </w:p>
        </w:tc>
        <w:tc>
          <w:tcPr>
            <w:tcW w:w="7071" w:type="dxa"/>
            <w:vAlign w:val="center"/>
          </w:tcPr>
          <w:p w:rsidR="00C314D9" w:rsidRPr="00667A00" w:rsidRDefault="00C314D9" w:rsidP="00290D9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se jednat o poradní orgán ministerstva (resp. ministra) bez exekutivních kompetencí.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EB2CF1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Dělba práce mezi AV ČR a VŠ – co se tím myslí? Jaká bude koordinační úloha úřadu?</w:t>
            </w:r>
          </w:p>
        </w:tc>
        <w:tc>
          <w:tcPr>
            <w:tcW w:w="7071" w:type="dxa"/>
            <w:vAlign w:val="center"/>
          </w:tcPr>
          <w:p w:rsidR="00C314D9" w:rsidRPr="00667A00" w:rsidRDefault="00C3321E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Zákon nemůže řešit vymezení dělby práce mezi ústavy AV ČR a vysokými školami. </w:t>
            </w:r>
            <w:r w:rsidR="00BF66C5">
              <w:rPr>
                <w:sz w:val="20"/>
                <w:szCs w:val="20"/>
              </w:rPr>
              <w:t>Koordinační role úřadu (resp. ministerstva) bude mj. v tom, že problém identifikovaný už mezinárodním auditem začne být podle jeho doporučení po více než třech letech řešen.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EB2CF1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Podle čeho a jak se stanovuje, co je a co není NIF?</w:t>
            </w:r>
          </w:p>
        </w:tc>
        <w:tc>
          <w:tcPr>
            <w:tcW w:w="7071" w:type="dxa"/>
            <w:vAlign w:val="center"/>
          </w:tcPr>
          <w:p w:rsidR="00C314D9" w:rsidRPr="00667A00" w:rsidRDefault="00BF66C5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Vedle odborných kritérií (unikátnost, význam atd.) bude z hlediska systému podpory jedním z kritérií velikost NIF (konkrétní velikost bude předmětem diskuze, předběžně jde o infrastruktury s náklady na vybudování více než cca 0,75 mld. Kč/r).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Kompetence za mezinárodní spolupráce – úřad nebo MŠMT?</w:t>
            </w:r>
          </w:p>
        </w:tc>
        <w:tc>
          <w:tcPr>
            <w:tcW w:w="7071" w:type="dxa"/>
            <w:vAlign w:val="center"/>
          </w:tcPr>
          <w:p w:rsidR="00C314D9" w:rsidRPr="00667A00" w:rsidRDefault="00F50220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Podle předběžných dohod by tato agenda měl přejít na nové ministerstvo.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Údajně není nikde uvedeno, že AV ČR, GAČR a TA ČR mají předkládat své koncepce vládě.</w:t>
            </w:r>
            <w:r w:rsidRPr="00DF6D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71" w:type="dxa"/>
            <w:vAlign w:val="center"/>
          </w:tcPr>
          <w:p w:rsidR="00C314D9" w:rsidRPr="008E6F66" w:rsidRDefault="008E6F66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Vláda svým usnesením č. 294 ze dne 24. dubna 2014 uložila i předsedovi AV ČR, předsedkyni TA ČR a předsedovi GA ČR realizovat Aktualizovanou NP VaVaI. Tito přitom koncepce ve své působnosti (které z NP VaVaI musí vycházet) na rozdíl od ostatních poskytovatelů vládě předkládat údajně nemusí i když hospodaří s veřejnými </w:t>
            </w:r>
            <w:r w:rsidR="00290D90">
              <w:rPr>
                <w:sz w:val="20"/>
                <w:szCs w:val="20"/>
              </w:rPr>
              <w:t>prostředky nebo je vůbec nemají.</w:t>
            </w:r>
            <w:r>
              <w:rPr>
                <w:sz w:val="20"/>
                <w:szCs w:val="20"/>
              </w:rPr>
              <w:t xml:space="preserve"> V Principech šlo o konstatování nedostatku dosavadního systému, nikoliv o </w:t>
            </w:r>
            <w:r w:rsidR="00335D0B">
              <w:rPr>
                <w:sz w:val="20"/>
                <w:szCs w:val="20"/>
              </w:rPr>
              <w:t>formální kontrolu plnění či neplnění dosavadních úkolů.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066D5">
              <w:rPr>
                <w:sz w:val="20"/>
                <w:szCs w:val="20"/>
              </w:rPr>
              <w:t xml:space="preserve">od </w:t>
            </w:r>
            <w:r>
              <w:rPr>
                <w:sz w:val="20"/>
                <w:szCs w:val="20"/>
              </w:rPr>
              <w:t>nový</w:t>
            </w:r>
            <w:r w:rsidRPr="00C066D5">
              <w:rPr>
                <w:sz w:val="20"/>
                <w:szCs w:val="20"/>
              </w:rPr>
              <w:t xml:space="preserve"> úřad byly sloučeny veškeré prostředky pro výzkum a vývoj, nejen prostředky pro GA ČR a TA ČR, ale i ostatních poskytovatelů z důvodu centralizace a lepší koncepční koordinace těchto prostředků.  Především není důvod, aby AV ČR jako poskytovatel měla jiné postavení než TA ČR a GA ČR.</w:t>
            </w:r>
          </w:p>
        </w:tc>
        <w:tc>
          <w:tcPr>
            <w:tcW w:w="7071" w:type="dxa"/>
            <w:vAlign w:val="center"/>
          </w:tcPr>
          <w:p w:rsidR="00C314D9" w:rsidRPr="00667A00" w:rsidRDefault="00F50220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Úvaha o kompletním sloučení VaVaI od všech poskytovatelů se nepředpokládá.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Proč je odlišně řešeno AV CŘ od GA ČR a TA ČR?</w:t>
            </w:r>
          </w:p>
        </w:tc>
        <w:tc>
          <w:tcPr>
            <w:tcW w:w="7071" w:type="dxa"/>
            <w:vAlign w:val="center"/>
          </w:tcPr>
          <w:p w:rsidR="00C314D9" w:rsidRPr="00667A00" w:rsidRDefault="00F50220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Postavení AV ČR není nyní předmětem diskuse o koordinaci aktivit VaVaI. AV ČR je de facto pouze zřizovatelem veřejných výzkumných institucí a z toho titulu jim pouze rozděluje institucionální podporu.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 bude fungovat řízení GA ČR a TA ČR pod novým úřadem?</w:t>
            </w:r>
          </w:p>
        </w:tc>
        <w:tc>
          <w:tcPr>
            <w:tcW w:w="7071" w:type="dxa"/>
            <w:vAlign w:val="center"/>
          </w:tcPr>
          <w:p w:rsidR="00C314D9" w:rsidRPr="00667A00" w:rsidRDefault="00F50220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 ČR a TA ČR budou agentur</w:t>
            </w:r>
            <w:r w:rsidR="00335D0B">
              <w:rPr>
                <w:sz w:val="20"/>
                <w:szCs w:val="20"/>
              </w:rPr>
              <w:t>ami</w:t>
            </w:r>
            <w:r>
              <w:rPr>
                <w:sz w:val="20"/>
                <w:szCs w:val="20"/>
              </w:rPr>
              <w:t xml:space="preserve"> pro realizaci programů, kter</w:t>
            </w:r>
            <w:r w:rsidR="00F1486A">
              <w:rPr>
                <w:sz w:val="20"/>
                <w:szCs w:val="20"/>
              </w:rPr>
              <w:t xml:space="preserve">é schválí </w:t>
            </w:r>
            <w:proofErr w:type="gramStart"/>
            <w:r w:rsidR="00F1486A">
              <w:rPr>
                <w:sz w:val="20"/>
                <w:szCs w:val="20"/>
              </w:rPr>
              <w:t>vláda a ony</w:t>
            </w:r>
            <w:proofErr w:type="gramEnd"/>
            <w:r>
              <w:rPr>
                <w:sz w:val="20"/>
                <w:szCs w:val="20"/>
              </w:rPr>
              <w:t xml:space="preserve"> budou pověřeni realizací. </w:t>
            </w:r>
            <w:r w:rsidR="00335D0B">
              <w:rPr>
                <w:sz w:val="20"/>
                <w:szCs w:val="20"/>
              </w:rPr>
              <w:t>Programy musí už podle stávajícího znění zákona vládě předkládat členové vlády, kteří za danou oblast kompetenčně odpovídají a nesou za ni odpovědnost tak, aby bylo zajištěno jejich skutečné zaměření podle potřeb ekonomiky a společnosti (a nikoliv jen podle potřeb budoucích příjemců podpory). Jde o obdobu Agentury pro zdravotnický výzkum, kde</w:t>
            </w:r>
            <w:r w:rsidR="0054000D">
              <w:rPr>
                <w:sz w:val="20"/>
                <w:szCs w:val="20"/>
              </w:rPr>
              <w:t xml:space="preserve"> odpovědnost nese MZ.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Schéma pracuje s nepřesnými pojmy, je nepřehledné a kombinované (resp. navržený systém)</w:t>
            </w:r>
          </w:p>
        </w:tc>
        <w:tc>
          <w:tcPr>
            <w:tcW w:w="7071" w:type="dxa"/>
            <w:vAlign w:val="center"/>
          </w:tcPr>
          <w:p w:rsidR="00C314D9" w:rsidRPr="00667A00" w:rsidRDefault="00F1486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Schéma je složité, protože zohledňuje všechny vzájemné vazby. Poté, co GA ČR a TA ČR budou pod novým ministerstvem, nebudou již organizačními složkami státu ale organizačními jednotkami ministerstva.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67A00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Odpovědnost za výzkumné organizace.</w:t>
            </w:r>
          </w:p>
        </w:tc>
        <w:tc>
          <w:tcPr>
            <w:tcW w:w="7071" w:type="dxa"/>
            <w:vAlign w:val="center"/>
          </w:tcPr>
          <w:p w:rsidR="00C314D9" w:rsidRPr="00667A00" w:rsidRDefault="00F1486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tom, kdo v daném režimu podpory (daný program) splňuje či nesplňuje podmínky výzkumné organizace rozhoduje (stejně jako nyní) příslušný poskytovatel.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B62A1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 zajištění plnění závazků udržitelnosti center MŠMT: </w:t>
            </w:r>
            <w:r w:rsidRPr="00B66EA4">
              <w:rPr>
                <w:sz w:val="20"/>
                <w:szCs w:val="20"/>
              </w:rPr>
              <w:t>K diskusi a objasnění. Nekonzistentní s návrhem NIF.</w:t>
            </w:r>
          </w:p>
        </w:tc>
        <w:tc>
          <w:tcPr>
            <w:tcW w:w="7071" w:type="dxa"/>
            <w:vAlign w:val="center"/>
          </w:tcPr>
          <w:p w:rsidR="00C314D9" w:rsidRPr="00667A00" w:rsidRDefault="0054000D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Zákon nemůže a nebude garantovat udržitelnost center a další požadavky poskytovatelů – to je věcí přípravy návrhu SR VaVaI, disponibilních zdrojů, rozhodnutí vlády a PSP atd. Zákon</w:t>
            </w:r>
            <w:r w:rsidR="008930AB">
              <w:rPr>
                <w:sz w:val="20"/>
                <w:szCs w:val="20"/>
              </w:rPr>
              <w:t xml:space="preserve"> ale</w:t>
            </w:r>
            <w:r>
              <w:rPr>
                <w:sz w:val="20"/>
                <w:szCs w:val="20"/>
              </w:rPr>
              <w:t xml:space="preserve"> může a musí popsat v souladu s rozpočtovými pravidly (zákon č. 218/2000 Sb.) popsat postup přípravy SR VaVaI, ale nemůže předjímat rozhodování mezi různými rozpočtovými prioritami, ať už na úrovni poskytovatelů, RVVI/ministerstva pro VaVaI/vlády/PSP.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B62A1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B66EA4">
              <w:rPr>
                <w:sz w:val="20"/>
                <w:szCs w:val="20"/>
              </w:rPr>
              <w:t xml:space="preserve">MPO je ukládána nová kompetence (inovace), </w:t>
            </w:r>
            <w:proofErr w:type="gramStart"/>
            <w:r w:rsidR="0054000D">
              <w:rPr>
                <w:sz w:val="20"/>
                <w:szCs w:val="20"/>
              </w:rPr>
              <w:t>U</w:t>
            </w:r>
            <w:r w:rsidRPr="00B66EA4">
              <w:rPr>
                <w:sz w:val="20"/>
                <w:szCs w:val="20"/>
              </w:rPr>
              <w:t>pozorňujeme že</w:t>
            </w:r>
            <w:proofErr w:type="gramEnd"/>
            <w:r w:rsidRPr="00B66EA4">
              <w:rPr>
                <w:sz w:val="20"/>
                <w:szCs w:val="20"/>
              </w:rPr>
              <w:t xml:space="preserve"> to je vyloučeno bez adekvátního zvýšení tabulkových míst MPO na VaVaI.</w:t>
            </w:r>
          </w:p>
        </w:tc>
        <w:tc>
          <w:tcPr>
            <w:tcW w:w="7071" w:type="dxa"/>
            <w:vAlign w:val="center"/>
          </w:tcPr>
          <w:p w:rsidR="00C314D9" w:rsidRPr="00667A00" w:rsidRDefault="00F1486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Ano.</w:t>
            </w:r>
          </w:p>
        </w:tc>
      </w:tr>
      <w:tr w:rsidR="00C314D9" w:rsidTr="00C314D9">
        <w:tc>
          <w:tcPr>
            <w:tcW w:w="7071" w:type="dxa"/>
            <w:vAlign w:val="center"/>
          </w:tcPr>
          <w:p w:rsidR="00C314D9" w:rsidRPr="006B62A1" w:rsidRDefault="00C314D9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Odpovědnost za evaluaci / hodnocení.</w:t>
            </w:r>
          </w:p>
        </w:tc>
        <w:tc>
          <w:tcPr>
            <w:tcW w:w="7071" w:type="dxa"/>
            <w:vAlign w:val="center"/>
          </w:tcPr>
          <w:p w:rsidR="00C314D9" w:rsidRPr="00667A00" w:rsidRDefault="008930AB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Viz výše (k části 1 – poslední blok). Celkovou odpovědnost za evaluaci v novém pojetí ponese ministerstvo pro VaVaI, jak je v Principech již uvedeno (viz KEV atd.).</w:t>
            </w:r>
          </w:p>
        </w:tc>
      </w:tr>
    </w:tbl>
    <w:p w:rsidR="004119EC" w:rsidRDefault="004119EC" w:rsidP="00E956BA">
      <w:pPr>
        <w:pStyle w:val="Nadpis1"/>
        <w:jc w:val="both"/>
      </w:pPr>
      <w:r>
        <w:t xml:space="preserve">K části 3 – Struktura a formy veřejné podpory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Připomínka / komentář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Vyjádření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Diskuse o národních prioritách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Nemůže být a není předmětem zákona, ale Národní politiky VaVaI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Dotazy ke schvalování nových aktivit.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Jde o přijímání a schvalování nových programů tak, aby byly finančně kryty, odpovídaly potřebám (prioritám) a zohledňovaly efektivní využití prostředků z ostatních aktivit (operační programy, infrastruktury, ostatní programy účelové podpory).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Platnost střednědobých výhledů a implementace nových programů.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Zákon bude definovat, že střednědobé výhledy budou závazné a dlouhodobé výhledy budou připravovány současně.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Jiné formy podpory než jen dotace?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Jiné formy podpory podle nařízení Komise (EK) č. 651/2014 jsou možné jíž dnes, ale vzhledem k jejich dostatečnému zajištění z prostředků EU (zejm. OP PIK) se nepředpokládá do r. 2022 jejich masivní podpora z národních zdrojů.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Nedostatečně zohledněna </w:t>
            </w:r>
            <w:proofErr w:type="spellStart"/>
            <w:r>
              <w:rPr>
                <w:sz w:val="20"/>
                <w:szCs w:val="20"/>
              </w:rPr>
              <w:t>IPn</w:t>
            </w:r>
            <w:proofErr w:type="spellEnd"/>
            <w:r>
              <w:rPr>
                <w:sz w:val="20"/>
                <w:szCs w:val="20"/>
              </w:rPr>
              <w:t xml:space="preserve"> Metodika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Vzhledem k tomu, že dosud není známo, kam směřuje (co konkrétně navrhuje změnit oproti současnému stavu a jaké by to mělo dopady), nemůžeme ji přímo </w:t>
            </w:r>
            <w:r>
              <w:rPr>
                <w:sz w:val="20"/>
                <w:szCs w:val="20"/>
              </w:rPr>
              <w:lastRenderedPageBreak/>
              <w:t>zohledňovat.</w:t>
            </w:r>
          </w:p>
        </w:tc>
      </w:tr>
    </w:tbl>
    <w:p w:rsidR="004119EC" w:rsidRDefault="004119EC" w:rsidP="00E956BA">
      <w:pPr>
        <w:pStyle w:val="Nadpis1"/>
        <w:jc w:val="both"/>
      </w:pPr>
      <w:r>
        <w:lastRenderedPageBreak/>
        <w:t xml:space="preserve">K části 4 – Institucionální podpora na rozvoj výzkumných organizací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Připomínka / komentář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Vyjádření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Institucionální podpora na RVO a její podíl na celkových výdajích (zvýšit / snížit).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Zákon nemůže a nebude garantovat nárůst výdajů na RVO a další požadavky poskytovatelů – to je věcí přípravy návrhu SR VaVaI, disponibilních zdrojů, rozhodnutí vlády a PSP atd. Zákon ale může a musí popsat v souladu s rozpočtovými pravidly (zákon č. 218/2000 Sb.) popsat postup přípravy SR VaVaI, ale nemůže předjímat rozhodování mezi různými rozpočtovými prioritami, ať už na úrovni poskytovatelů, RVVI/ministerstva pro VaVaI/vlády/PSP.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Chybí pravidla pro rozdělování institucionální podpory mezi poskytovatele.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Odpovídající podíl část</w:t>
            </w:r>
            <w:r w:rsidR="00290D9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institucionální podpory na RVO se společně s dalšími zdroji SR VaVaI předpokládá využít na NIF (jako nový způsob podpory). Další změny v současném rozdělení výdajů na RVO bude možné stanovit podle výsledků posledního opatření v části 2.1 Principů („</w:t>
            </w:r>
            <w:r w:rsidRPr="00E956BA">
              <w:rPr>
                <w:i/>
                <w:sz w:val="20"/>
                <w:szCs w:val="20"/>
              </w:rPr>
              <w:t xml:space="preserve">Dojde k prověření a změně organizace, výkonnosti a dělby práce mezi vysokými školami a ústavy Akademie věd s cílem </w:t>
            </w:r>
            <w:proofErr w:type="spellStart"/>
            <w:r w:rsidRPr="00E956BA">
              <w:rPr>
                <w:i/>
                <w:sz w:val="20"/>
                <w:szCs w:val="20"/>
              </w:rPr>
              <w:t>realokovat</w:t>
            </w:r>
            <w:proofErr w:type="spellEnd"/>
            <w:r w:rsidRPr="00E956BA">
              <w:rPr>
                <w:i/>
                <w:sz w:val="20"/>
                <w:szCs w:val="20"/>
              </w:rPr>
              <w:t xml:space="preserve"> jejich role a zajistit udržitelnost systému podpory tak, jak již v roce 2011 doporučil mezinárodní audit; materiál s návrhy opatření pro schůzi vlády do konce roku 2015 připraví společně MŠMT a AV ČR.</w:t>
            </w:r>
            <w:r>
              <w:rPr>
                <w:i/>
                <w:sz w:val="20"/>
                <w:szCs w:val="20"/>
              </w:rPr>
              <w:t>“</w:t>
            </w:r>
            <w:r w:rsidRPr="00E956BA">
              <w:rPr>
                <w:sz w:val="20"/>
                <w:szCs w:val="20"/>
              </w:rPr>
              <w:t>)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Institucionální podpora </w:t>
            </w:r>
            <w:proofErr w:type="spellStart"/>
            <w:r>
              <w:rPr>
                <w:sz w:val="20"/>
                <w:szCs w:val="20"/>
              </w:rPr>
              <w:t>vs</w:t>
            </w:r>
            <w:proofErr w:type="spellEnd"/>
            <w:r>
              <w:rPr>
                <w:sz w:val="20"/>
                <w:szCs w:val="20"/>
              </w:rPr>
              <w:t xml:space="preserve"> vykazování výsledků v IS VaVaI.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Půjde o to, že institucionální podpora bude na základě smluv o zaměření a o výkonech (např. udržování genofondu pod.) a na takové finančně již zajištěné aktivity nelze čerpat jiné podpory (např. projekt na stejnou problematiku) a vzniklé výsledky a realizované výkony nelze vykazovat k jiné než institucionální podpoře.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Otázku účelové podpory řešit stejně důležitě jako institucionální.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290D9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 skutečnosti je jí věnována stejná pozornost jako institucionální podpoře (viz plánování aktivit a výdajů), ale jde o jiný princip jejich rozpočtování a poskytování (</w:t>
            </w:r>
            <w:r w:rsidR="00290D90">
              <w:rPr>
                <w:sz w:val="20"/>
                <w:szCs w:val="20"/>
              </w:rPr>
              <w:t>nelze</w:t>
            </w:r>
            <w:r>
              <w:rPr>
                <w:sz w:val="20"/>
                <w:szCs w:val="20"/>
              </w:rPr>
              <w:t xml:space="preserve"> schvalovat rozpočtově nekryté programy atd. – viz výše).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Postavení poskytovatele a zřizovatele na institucionální podporu (vyšší míra zřizovatele).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více zohledněno tak, aby zřizovatel (není-li současně poskytovatelem této podpory) mohl ovlivnit činnosti pro institucionální podporu na základě výkonnostních kontraktů.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Kdo bude zajišťovat evaluaci organizací?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Viz výše (k části 1 – poslední blok). Celkovou odpovědnost za evaluaci v novém pojetí ponese ministerstvo pro VaVaI, jak je v Principech již uvedeno (viz KEV atd.).</w:t>
            </w:r>
          </w:p>
        </w:tc>
      </w:tr>
    </w:tbl>
    <w:p w:rsidR="004119EC" w:rsidRDefault="004119EC" w:rsidP="00E956BA">
      <w:pPr>
        <w:pStyle w:val="Nadpis1"/>
        <w:jc w:val="both"/>
      </w:pPr>
      <w:r>
        <w:lastRenderedPageBreak/>
        <w:t xml:space="preserve">K části 5 – Udržitelnost a financování </w:t>
      </w:r>
      <w:r w:rsidR="00E956BA">
        <w:t>center a infrastruktur</w:t>
      </w:r>
      <w:r>
        <w:t xml:space="preserve"> VaVaI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Připomínka / komentář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Vyjádření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544D86">
              <w:rPr>
                <w:sz w:val="20"/>
                <w:szCs w:val="20"/>
              </w:rPr>
              <w:t>Mělo by být uvedeno, v jakých případech je v zahraničí vyloučen souběh různých způsobů účelové a institucionální podpory.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Viz např. podklady pro Aktualizaci NP VaVaI, kde byly podrobně jednotlivé systémy podpory VaVaI ve vyspělých zemích analyzovány. 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544D86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Nesouhlas se zákazem jiných podpor pro NIF, které budou financovány z institucionální podpory.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Má-li ČR garantovat udržitelnost center OP VaVpI a dalších NIF, pak je nelze neprůhledně podporovat šesti různými způsoby z výdajů SR VaVaI (jako NPU, velké infrastruktury, dotacemi na RVO, grantovými projekty GA ČR, programovými projekty TA ČR, MŠMT aj. poskytovatelů a z </w:t>
            </w:r>
            <w:proofErr w:type="gramStart"/>
            <w:r>
              <w:rPr>
                <w:sz w:val="20"/>
                <w:szCs w:val="20"/>
              </w:rPr>
              <w:t>OP</w:t>
            </w:r>
            <w:proofErr w:type="gramEnd"/>
            <w:r>
              <w:rPr>
                <w:sz w:val="20"/>
                <w:szCs w:val="20"/>
              </w:rPr>
              <w:t xml:space="preserve"> VVV popř. dalších zdrojů rovněž spolufinancovaných z výdajů SR VaVaI).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544D86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Udržitelnost center není materiálem řešena.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řešeno v rámci NIF.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řešeno naplňování požadavků, když centra nemají IČO.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součástí části o NIF.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je velká a střední infrastruktura?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Jde o pracovní </w:t>
            </w:r>
            <w:proofErr w:type="spellStart"/>
            <w:r>
              <w:rPr>
                <w:sz w:val="20"/>
                <w:szCs w:val="20"/>
              </w:rPr>
              <w:t>pojm</w:t>
            </w:r>
            <w:proofErr w:type="spellEnd"/>
            <w:r>
              <w:rPr>
                <w:sz w:val="20"/>
                <w:szCs w:val="20"/>
              </w:rPr>
              <w:t xml:space="preserve"> použitý v souvislosti s NIF. Vedle odborných kritérií (unikátnost, význam atd.) bude z hlediska systému podpory jedním z kritérií velikost NIF (konkrétní velikost bude předmětem diskuze, předběžně jde o infrastruktury s náklady na vybudování více než cca 0,75 mld. Kč/r).</w:t>
            </w:r>
          </w:p>
        </w:tc>
      </w:tr>
    </w:tbl>
    <w:p w:rsidR="004119EC" w:rsidRDefault="004119EC" w:rsidP="00E956BA">
      <w:pPr>
        <w:pStyle w:val="Nadpis1"/>
        <w:jc w:val="both"/>
      </w:pPr>
      <w:r>
        <w:t xml:space="preserve">K části 6 – Inovace v systému veřejní podpory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Připomínka / komentář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Vyjádření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7347F1">
              <w:rPr>
                <w:sz w:val="20"/>
                <w:szCs w:val="20"/>
              </w:rPr>
              <w:t xml:space="preserve">Pokud budou zavedeny nové programy a další nové nástroje na podporu inovací, jejichž poskytovatelem bude MPO v rámci výdajů SR na </w:t>
            </w:r>
            <w:proofErr w:type="spellStart"/>
            <w:r w:rsidRPr="007347F1">
              <w:rPr>
                <w:sz w:val="20"/>
                <w:szCs w:val="20"/>
              </w:rPr>
              <w:t>VaVal</w:t>
            </w:r>
            <w:proofErr w:type="spellEnd"/>
            <w:r w:rsidRPr="007347F1">
              <w:rPr>
                <w:sz w:val="20"/>
                <w:szCs w:val="20"/>
              </w:rPr>
              <w:t>, musí být splněným předpokladem příslušné skokové navýšení těchto výdajů.</w:t>
            </w:r>
          </w:p>
        </w:tc>
        <w:tc>
          <w:tcPr>
            <w:tcW w:w="7071" w:type="dxa"/>
            <w:vAlign w:val="center"/>
          </w:tcPr>
          <w:p w:rsidR="00E956BA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Zde je nutné nejprve chápat co je vlastně inovace, resp. jaký je rozdíl mezi inovací a aplikovaným výzkumem.</w:t>
            </w:r>
          </w:p>
          <w:p w:rsidR="00E956BA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Podpora inovací bude na jiných principech než účelová podpora na programové projekty: v projektech se ex ante posuzuje orientovaný projekt, kdežto inovace lze vyhodnocovat a uplatňovat až poté co je realizována („inovace se nedají plánovat“).</w:t>
            </w:r>
          </w:p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Předpokládá se tedy, že inovace budou financovány ve formě výzev na předkládání výsledků inovací ex post a z národních zdrojů více až po r. 2022 (do té doby je řeší zejm. OP PIK).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7347F1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Nové finanční nástroje pro inovace?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Zatím není zřejmé, které budou využity, ale nelze aplikovat </w:t>
            </w:r>
            <w:proofErr w:type="gramStart"/>
            <w:r>
              <w:rPr>
                <w:sz w:val="20"/>
                <w:szCs w:val="20"/>
              </w:rPr>
              <w:t>jiné než</w:t>
            </w:r>
            <w:proofErr w:type="gramEnd"/>
            <w:r>
              <w:rPr>
                <w:sz w:val="20"/>
                <w:szCs w:val="20"/>
              </w:rPr>
              <w:t xml:space="preserve"> které umožňuje nařízení Komise (EK) č. 651/2014.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C15786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 návrhu řešení: </w:t>
            </w:r>
            <w:r w:rsidRPr="00C15786">
              <w:rPr>
                <w:sz w:val="20"/>
                <w:szCs w:val="20"/>
              </w:rPr>
              <w:t xml:space="preserve">prosím doplnit o problematiku inovací ve veřejném sektoru (s tím </w:t>
            </w:r>
            <w:r w:rsidRPr="00C15786">
              <w:rPr>
                <w:sz w:val="20"/>
                <w:szCs w:val="20"/>
              </w:rPr>
              <w:lastRenderedPageBreak/>
              <w:t>souvisí tolik poptávané PCP projekty, bez takového pojednání je PCP zbytečná věc) a dále oblast odstraňování bariér pro inovace (podpora inovačních útvarů v podnicích a zcela jinak organizovaná podpora obdobných útvarů ve veřejném sektoru – zde by byla vhodná i vazba na ostatní legislativu typu rozpočtová pravidla, zákon o majetku státu, zákon o veřejných zakázkách atd. atd. atd. – jedná se palčivý problém a oblast s velkým potenciálem pro pozitivní přínos); problematika transferu znalostí je dotčena v NP také, ale zde není nijak detailně rozebrána, i když souvisí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„T</w:t>
            </w:r>
            <w:r w:rsidRPr="00C15786">
              <w:rPr>
                <w:sz w:val="20"/>
                <w:szCs w:val="20"/>
              </w:rPr>
              <w:t>olik poptávané PCP projekty</w:t>
            </w:r>
            <w:r>
              <w:rPr>
                <w:sz w:val="20"/>
                <w:szCs w:val="20"/>
              </w:rPr>
              <w:t xml:space="preserve">“ zatím nepřinesly konkrétní inovace ani ve veřejném </w:t>
            </w:r>
            <w:r>
              <w:rPr>
                <w:sz w:val="20"/>
                <w:szCs w:val="20"/>
              </w:rPr>
              <w:lastRenderedPageBreak/>
              <w:t>sektoru, mj. u nich chybí závazná poptávka státní správy. K inovacím obecně viz výše - předpokládá se tedy, že inovace budou financovány ve formě výzev na předkládání výsledků inovací ex post a z národních zdrojů více (masivněji) až po r. 2022 (do té doby je řeší zejm. OP PIK).</w:t>
            </w:r>
          </w:p>
        </w:tc>
      </w:tr>
    </w:tbl>
    <w:p w:rsidR="004119EC" w:rsidRDefault="004119EC" w:rsidP="00E956BA">
      <w:pPr>
        <w:pStyle w:val="Nadpis1"/>
        <w:jc w:val="both"/>
      </w:pPr>
      <w:r>
        <w:lastRenderedPageBreak/>
        <w:t xml:space="preserve">K části 7 – Implementační hledisko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Připomínka / komentář</w:t>
            </w:r>
          </w:p>
        </w:tc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center"/>
              <w:rPr>
                <w:b/>
              </w:rPr>
            </w:pPr>
            <w:r w:rsidRPr="00667A00">
              <w:rPr>
                <w:b/>
              </w:rPr>
              <w:t>Vyjádření</w:t>
            </w:r>
          </w:p>
        </w:tc>
      </w:tr>
      <w:tr w:rsidR="00E956BA" w:rsidTr="00E956BA">
        <w:tc>
          <w:tcPr>
            <w:tcW w:w="7071" w:type="dxa"/>
            <w:vAlign w:val="center"/>
          </w:tcPr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F1CCE">
              <w:rPr>
                <w:sz w:val="20"/>
                <w:szCs w:val="20"/>
              </w:rPr>
              <w:t>Obecné a nekonkrétní.</w:t>
            </w:r>
          </w:p>
        </w:tc>
        <w:tc>
          <w:tcPr>
            <w:tcW w:w="7071" w:type="dxa"/>
            <w:vAlign w:val="center"/>
          </w:tcPr>
          <w:p w:rsidR="00E956BA" w:rsidRPr="00033938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033938">
              <w:rPr>
                <w:sz w:val="20"/>
                <w:szCs w:val="20"/>
              </w:rPr>
              <w:t xml:space="preserve">Prováděcím předpisem zákona bude nařízení vlády o účelové podpoře VaVaI, které upraví zejména proces průběžného a závěrečného hodnocení projektů a hodnocení programu jako celku a to jak po ukončení programu, tak po třech </w:t>
            </w:r>
            <w:r>
              <w:rPr>
                <w:sz w:val="20"/>
                <w:szCs w:val="20"/>
              </w:rPr>
              <w:t xml:space="preserve">až pěti </w:t>
            </w:r>
            <w:r w:rsidRPr="00033938">
              <w:rPr>
                <w:sz w:val="20"/>
                <w:szCs w:val="20"/>
              </w:rPr>
              <w:t>letech (hodnocení dopadů programu a jeho přínosů).</w:t>
            </w:r>
          </w:p>
          <w:p w:rsidR="00E956BA" w:rsidRPr="00033938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033938">
              <w:rPr>
                <w:sz w:val="20"/>
                <w:szCs w:val="20"/>
              </w:rPr>
              <w:t xml:space="preserve">Prováděcím předpisem zákona bude nařízení vlády o institucionální podpoře VaV , které upraví zejména proces posuzování výzkumných organizací a jejich činností podle evropských předpisů (Rámce pro státní podporu výzkumu, vývoje a inovací“ (2014/C 198/01)), užití dotací na RVO, náležitosti smluv o výkonech a jejich hodnocení, podmínky pro rozdělení prostředků na </w:t>
            </w:r>
            <w:r>
              <w:rPr>
                <w:sz w:val="20"/>
                <w:szCs w:val="20"/>
              </w:rPr>
              <w:t xml:space="preserve">další aktivity - </w:t>
            </w:r>
            <w:r w:rsidRPr="00033938">
              <w:rPr>
                <w:sz w:val="20"/>
                <w:szCs w:val="20"/>
              </w:rPr>
              <w:t>„podpora ústavů AV ČR“ atd.</w:t>
            </w:r>
          </w:p>
          <w:p w:rsidR="00E956BA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033938">
              <w:rPr>
                <w:sz w:val="20"/>
                <w:szCs w:val="20"/>
              </w:rPr>
              <w:t>Novelizován bude současný prováděcí předpis – nařízení vlády č. 397/2009 Sb., o informačním systému výzkumu, experimentálního vývoje a inovací tak, aby IS VaVaI poskytoval informace o novém systému podpory, zejm. bude doplněn o části týkající se podpory RVO (vč. výkonů), NIF atd.</w:t>
            </w:r>
          </w:p>
          <w:p w:rsidR="00E956BA" w:rsidRPr="00667A00" w:rsidRDefault="00E956BA" w:rsidP="00E956BA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Současně bude novelizováno nařízení vlády č. 71/2013 Sb., o podmínkách ocenění výsledků VaVaI</w:t>
            </w:r>
          </w:p>
        </w:tc>
      </w:tr>
    </w:tbl>
    <w:p w:rsidR="004119EC" w:rsidRPr="00667A00" w:rsidRDefault="004119EC" w:rsidP="00E956BA">
      <w:pPr>
        <w:jc w:val="both"/>
      </w:pPr>
    </w:p>
    <w:sectPr w:rsidR="004119EC" w:rsidRPr="00667A00" w:rsidSect="00A03037">
      <w:footerReference w:type="default" r:id="rId8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6FA" w:rsidRDefault="003A66FA" w:rsidP="00B420A2">
      <w:pPr>
        <w:spacing w:after="0" w:line="240" w:lineRule="auto"/>
      </w:pPr>
      <w:r>
        <w:separator/>
      </w:r>
    </w:p>
  </w:endnote>
  <w:endnote w:type="continuationSeparator" w:id="0">
    <w:p w:rsidR="003A66FA" w:rsidRDefault="003A66FA" w:rsidP="00B4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359061"/>
      <w:docPartObj>
        <w:docPartGallery w:val="Page Numbers (Bottom of Page)"/>
        <w:docPartUnique/>
      </w:docPartObj>
    </w:sdtPr>
    <w:sdtEndPr/>
    <w:sdtContent>
      <w:p w:rsidR="00B07A83" w:rsidRDefault="00172D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5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7A83" w:rsidRDefault="00B07A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6FA" w:rsidRDefault="003A66FA" w:rsidP="00B420A2">
      <w:pPr>
        <w:spacing w:after="0" w:line="240" w:lineRule="auto"/>
      </w:pPr>
      <w:r>
        <w:separator/>
      </w:r>
    </w:p>
  </w:footnote>
  <w:footnote w:type="continuationSeparator" w:id="0">
    <w:p w:rsidR="003A66FA" w:rsidRDefault="003A66FA" w:rsidP="00B420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A00"/>
    <w:rsid w:val="00033938"/>
    <w:rsid w:val="00081090"/>
    <w:rsid w:val="00092913"/>
    <w:rsid w:val="000E3FAD"/>
    <w:rsid w:val="000F3571"/>
    <w:rsid w:val="000F78A2"/>
    <w:rsid w:val="00172D56"/>
    <w:rsid w:val="001C6974"/>
    <w:rsid w:val="00226EE6"/>
    <w:rsid w:val="00237006"/>
    <w:rsid w:val="00290D90"/>
    <w:rsid w:val="003035E3"/>
    <w:rsid w:val="00335D0B"/>
    <w:rsid w:val="00360293"/>
    <w:rsid w:val="00362AB6"/>
    <w:rsid w:val="00380FE1"/>
    <w:rsid w:val="00387B05"/>
    <w:rsid w:val="003A66FA"/>
    <w:rsid w:val="003D6D64"/>
    <w:rsid w:val="004119EC"/>
    <w:rsid w:val="004369F8"/>
    <w:rsid w:val="0045218A"/>
    <w:rsid w:val="00496059"/>
    <w:rsid w:val="004A2F9B"/>
    <w:rsid w:val="004C5682"/>
    <w:rsid w:val="005252A8"/>
    <w:rsid w:val="0054000D"/>
    <w:rsid w:val="00544D86"/>
    <w:rsid w:val="0056604A"/>
    <w:rsid w:val="00577662"/>
    <w:rsid w:val="005D22BF"/>
    <w:rsid w:val="00667A00"/>
    <w:rsid w:val="006821D0"/>
    <w:rsid w:val="006A0636"/>
    <w:rsid w:val="006B62A1"/>
    <w:rsid w:val="006C4864"/>
    <w:rsid w:val="006E5320"/>
    <w:rsid w:val="006F044B"/>
    <w:rsid w:val="007347F1"/>
    <w:rsid w:val="00810AA0"/>
    <w:rsid w:val="008274E8"/>
    <w:rsid w:val="00834559"/>
    <w:rsid w:val="008746BD"/>
    <w:rsid w:val="00880543"/>
    <w:rsid w:val="008827E5"/>
    <w:rsid w:val="008930AB"/>
    <w:rsid w:val="00893236"/>
    <w:rsid w:val="008A1ACA"/>
    <w:rsid w:val="008A1E63"/>
    <w:rsid w:val="008E6F66"/>
    <w:rsid w:val="00931062"/>
    <w:rsid w:val="0096581C"/>
    <w:rsid w:val="00965AED"/>
    <w:rsid w:val="0096628A"/>
    <w:rsid w:val="00983517"/>
    <w:rsid w:val="009B79D0"/>
    <w:rsid w:val="00A00DD8"/>
    <w:rsid w:val="00A03037"/>
    <w:rsid w:val="00AA7A45"/>
    <w:rsid w:val="00AC5D7E"/>
    <w:rsid w:val="00B07A83"/>
    <w:rsid w:val="00B2332E"/>
    <w:rsid w:val="00B420A2"/>
    <w:rsid w:val="00B66EA4"/>
    <w:rsid w:val="00B85BFC"/>
    <w:rsid w:val="00B944AB"/>
    <w:rsid w:val="00BE6806"/>
    <w:rsid w:val="00BF49C8"/>
    <w:rsid w:val="00BF66C5"/>
    <w:rsid w:val="00BF7643"/>
    <w:rsid w:val="00C066D5"/>
    <w:rsid w:val="00C15786"/>
    <w:rsid w:val="00C314D9"/>
    <w:rsid w:val="00C3321E"/>
    <w:rsid w:val="00C76664"/>
    <w:rsid w:val="00CD1548"/>
    <w:rsid w:val="00CF74EA"/>
    <w:rsid w:val="00D22CB3"/>
    <w:rsid w:val="00DA6AD2"/>
    <w:rsid w:val="00DB7369"/>
    <w:rsid w:val="00DF6DD0"/>
    <w:rsid w:val="00E01D31"/>
    <w:rsid w:val="00E4619E"/>
    <w:rsid w:val="00E46C97"/>
    <w:rsid w:val="00E855C3"/>
    <w:rsid w:val="00E956BA"/>
    <w:rsid w:val="00E96ACB"/>
    <w:rsid w:val="00EB2CF1"/>
    <w:rsid w:val="00EF1CCE"/>
    <w:rsid w:val="00F1486A"/>
    <w:rsid w:val="00F20F03"/>
    <w:rsid w:val="00F23995"/>
    <w:rsid w:val="00F31523"/>
    <w:rsid w:val="00F50220"/>
    <w:rsid w:val="00F552CC"/>
    <w:rsid w:val="00F82098"/>
    <w:rsid w:val="00FA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67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67A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67A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667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667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sid w:val="008A1E63"/>
    <w:pPr>
      <w:spacing w:after="12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1E63"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42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20A2"/>
  </w:style>
  <w:style w:type="paragraph" w:styleId="Zpat">
    <w:name w:val="footer"/>
    <w:basedOn w:val="Normln"/>
    <w:link w:val="ZpatChar"/>
    <w:uiPriority w:val="99"/>
    <w:unhideWhenUsed/>
    <w:rsid w:val="00B42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20A2"/>
  </w:style>
  <w:style w:type="character" w:customStyle="1" w:styleId="Zkladntext2">
    <w:name w:val="Základní text (2)_"/>
    <w:basedOn w:val="Standardnpsmoodstavce"/>
    <w:link w:val="Zkladntext20"/>
    <w:rsid w:val="000E3FA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0E3FAD"/>
    <w:pPr>
      <w:widowControl w:val="0"/>
      <w:shd w:val="clear" w:color="auto" w:fill="FFFFFF"/>
      <w:spacing w:before="360" w:after="240" w:line="298" w:lineRule="exact"/>
      <w:jc w:val="both"/>
    </w:pPr>
    <w:rPr>
      <w:rFonts w:ascii="Arial" w:eastAsia="Arial" w:hAnsi="Arial" w:cs="Arial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496059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2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67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67A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67A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667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667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sid w:val="008A1E63"/>
    <w:pPr>
      <w:spacing w:after="12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1E63"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42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20A2"/>
  </w:style>
  <w:style w:type="paragraph" w:styleId="Zpat">
    <w:name w:val="footer"/>
    <w:basedOn w:val="Normln"/>
    <w:link w:val="ZpatChar"/>
    <w:uiPriority w:val="99"/>
    <w:unhideWhenUsed/>
    <w:rsid w:val="00B42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20A2"/>
  </w:style>
  <w:style w:type="character" w:customStyle="1" w:styleId="Zkladntext2">
    <w:name w:val="Základní text (2)_"/>
    <w:basedOn w:val="Standardnpsmoodstavce"/>
    <w:link w:val="Zkladntext20"/>
    <w:rsid w:val="000E3FA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0E3FAD"/>
    <w:pPr>
      <w:widowControl w:val="0"/>
      <w:shd w:val="clear" w:color="auto" w:fill="FFFFFF"/>
      <w:spacing w:before="360" w:after="240" w:line="298" w:lineRule="exact"/>
      <w:jc w:val="both"/>
    </w:pPr>
    <w:rPr>
      <w:rFonts w:ascii="Arial" w:eastAsia="Arial" w:hAnsi="Arial" w:cs="Arial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496059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2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8ED4-8255-40CC-8AD6-444D2DDA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2116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</cp:revision>
  <dcterms:created xsi:type="dcterms:W3CDTF">2015-02-13T12:38:00Z</dcterms:created>
  <dcterms:modified xsi:type="dcterms:W3CDTF">2015-02-19T08:39:00Z</dcterms:modified>
</cp:coreProperties>
</file>